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6e609d9f044b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12606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GLAZBENA ŠKOLA JAKOVA GOTOVCA, SINJ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622.141,76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670.261,20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661.994,16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630.426,64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39.834,56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24.593,80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24.593,80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15.240,76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Glazbena škola Jakova Gotovca Sinj posluje u skladu sa Zakonom o odgoju i obrazovanju u srednjoj školi Statutom škole, vodi proračunsko računovodstvo temeljem Pravilnika o proračunskom računovodstvu i računskom planu, a financijske izvještaje sastavlja i predaje u skladu sa odredbama Pravilnika o financijskom izvještavanju u proračunskom računovodstvu.</w:t>
      </w:r>
    </w:p>
    <w:p>
      <w:r>
        <w:t xml:space="preserve">Manjak prihoda od nefinancijske imovine nastao je zbog nabave glazbenih instrumenata.</w:t>
      </w:r>
    </w:p>
    <w:p>
      <w:r>
        <w:t xml:space="preserve">Višak prihoda i primitaka je nastao zbog prihoda od vlastitih sredstava i učeničkih participacija.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622.141,76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670.261,20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107,7</w:t>
            </w:r>
          </w:p>
        </w:tc>
      </w:tr>
    </w:tbl>
    <w:p>
      <w:pPr>
        <w:spacing w:before="0" w:after="0"/>
      </w:pPr>
    </w:p>
    <w:p>
      <w:r>
        <w:t xml:space="preserve">Ukupni prihodi od poslovanja su veći u odnosu na prošlu godinu zbog odobrenih sredstava od Županije koja su prenesena od strane škole Gradu Trilju u svrhu obnove područne škole u Trilju, zbog povećanja plaća u 2026. godini te većeg broja zaposlenih.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37.231,11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39.876,04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107,1</w:t>
            </w:r>
          </w:p>
        </w:tc>
      </w:tr>
    </w:tbl>
    <w:p>
      <w:pPr>
        <w:spacing w:before="0" w:after="0"/>
      </w:pPr>
    </w:p>
    <w:p>
      <w:r>
        <w:t xml:space="preserve">Prihod od učeničkih participacija tekućeg razdoblja je veći od prihoda izvještajnog razdoblja prethodne godine zbog većeg broja učenika.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60.870,02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81.582,81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134,0</w:t>
            </w:r>
          </w:p>
        </w:tc>
      </w:tr>
    </w:tbl>
    <w:p>
      <w:pPr>
        <w:spacing w:before="0" w:after="0"/>
      </w:pPr>
    </w:p>
    <w:p>
      <w:r>
        <w:t xml:space="preserve">Prihod od Županije je veći u odnosu na prošlu godinu zbog naknadno odobrenih dodatnih sredstava od Županije koja su prenesena od strane škole Gradu Trilju u svrhu obnove područne škole u Trilju.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590.423,68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514.003,85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87,1</w:t>
            </w:r>
          </w:p>
        </w:tc>
      </w:tr>
    </w:tbl>
    <w:p>
      <w:pPr>
        <w:spacing w:before="0" w:after="0"/>
      </w:pPr>
    </w:p>
    <w:p>
      <w:r>
        <w:t xml:space="preserve">Iznos plaće za redovan rad je manji u odnosu na prošlu godinu jer se od siječnja 2026. obračun plaće za prosinac 2025. ne knjiži u siječnju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71.168,61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91.054,22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127,9</w:t>
            </w:r>
          </w:p>
        </w:tc>
      </w:tr>
    </w:tbl>
    <w:p>
      <w:pPr>
        <w:spacing w:before="0" w:after="0"/>
      </w:pPr>
    </w:p>
    <w:p>
      <w:r>
        <w:t xml:space="preserve">Materijalni rashodi u odnosu na prošlu godinu su porasli uslijed održavanja većeg broja manifestacija i koncerata.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osobama izvan radnog odnosa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12.072,32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34.136,72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282,8</w:t>
            </w:r>
          </w:p>
        </w:tc>
      </w:tr>
    </w:tbl>
    <w:p>
      <w:pPr>
        <w:spacing w:before="0" w:after="0"/>
      </w:pPr>
    </w:p>
    <w:p>
      <w:r>
        <w:t xml:space="preserve">Troškovi osobama izvan radnog odnosa su veći u odnosu na prošlu godinu zbog povećanja broja vanjskih suradnika uslijed nedostatka kadra.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u izvještajnom razdoblju tekuće godine je veći u odnosu na prošlu godinu zbog naknadno odobrenih sredstava od Županije, koja su prebačena Gradu Trilju od strane škole u svrhu obnove područne škole Trilj.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106.542,57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Obračunati prihodi poslovanja za plaću za lipanj 2026., a čija će sredstva biti isplaćena u srpnju 2026., potraživanja za nenaplaćene prihode od učeničkih participacija, te nenaplaćeni prihodi od pruženih usluga.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664,92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do 30. lipnja 2026. godine je 664,92 €. Navedene obveze bit će podmirene u srpnju 2026.g nakon plaćanja računa za materijalne rashode od strane SDŽ.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91.390,72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za rashode poslovanja u iznosu od 91.390,72 € odnosi se na: plaću zaposlenika za 6./2026. godine u iznosu od 81.460,69 €,  plaću i putni trošak Vanjskih suradnika za 6./2026. godine u iznosu od 3.093,96 €, putni trošak zaposlenika za 6./2026. godine u iznosu od 2.335,02 €, naknada za invalide za 6./2026. godine u iznosu od 210,00 € i ostali materijalni rashodi u iznosu od 4.291,05 €.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24.593,80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za nefinancijsku imovinu odnose se na nabavu glazbenog instrumenta koji će biti plaćen tijekom srpnja 2026.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e6ac344fb8481d" /></Relationships>
</file>